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9BF0"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2A3FE33A" w14:textId="77777777" w:rsidTr="005F7F7E">
        <w:tc>
          <w:tcPr>
            <w:tcW w:w="2438" w:type="dxa"/>
            <w:shd w:val="clear" w:color="auto" w:fill="auto"/>
          </w:tcPr>
          <w:p w14:paraId="4AA61529"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086B0F7" w14:textId="77777777" w:rsidR="00F445B1" w:rsidRPr="00F95BC9" w:rsidRDefault="005325E4" w:rsidP="004A6D2F">
            <w:pPr>
              <w:rPr>
                <w:rStyle w:val="Firstpagetablebold"/>
              </w:rPr>
            </w:pPr>
            <w:r>
              <w:rPr>
                <w:rStyle w:val="Firstpagetablebold"/>
              </w:rPr>
              <w:t>Cabinet</w:t>
            </w:r>
          </w:p>
        </w:tc>
      </w:tr>
      <w:tr w:rsidR="00CE544A" w:rsidRPr="00975B07" w14:paraId="0282DA35" w14:textId="77777777" w:rsidTr="005F7F7E">
        <w:tc>
          <w:tcPr>
            <w:tcW w:w="2438" w:type="dxa"/>
            <w:shd w:val="clear" w:color="auto" w:fill="auto"/>
          </w:tcPr>
          <w:p w14:paraId="6FFCE655"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541D48E8" w14:textId="0CDDE456" w:rsidR="00F445B1" w:rsidRPr="00FE6504" w:rsidRDefault="00FE6504" w:rsidP="005D0621">
            <w:pPr>
              <w:rPr>
                <w:b/>
                <w:color w:val="auto"/>
              </w:rPr>
            </w:pPr>
            <w:r w:rsidRPr="00FE6504">
              <w:rPr>
                <w:rStyle w:val="Firstpagetablebold"/>
                <w:color w:val="auto"/>
              </w:rPr>
              <w:t>11 September 2024</w:t>
            </w:r>
          </w:p>
        </w:tc>
      </w:tr>
      <w:tr w:rsidR="00CE544A" w:rsidRPr="00975B07" w14:paraId="40F45F8D" w14:textId="77777777" w:rsidTr="005F7F7E">
        <w:tc>
          <w:tcPr>
            <w:tcW w:w="2438" w:type="dxa"/>
            <w:shd w:val="clear" w:color="auto" w:fill="auto"/>
          </w:tcPr>
          <w:p w14:paraId="70F9C246"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389ED8EA" w14:textId="378D65B3" w:rsidR="00F445B1" w:rsidRPr="00FE6504" w:rsidRDefault="00EF2280" w:rsidP="004A6D2F">
            <w:pPr>
              <w:rPr>
                <w:rStyle w:val="Firstpagetablebold"/>
                <w:color w:val="auto"/>
              </w:rPr>
            </w:pPr>
            <w:r w:rsidRPr="00FE6504">
              <w:rPr>
                <w:rStyle w:val="Firstpagetablebold"/>
                <w:color w:val="auto"/>
              </w:rPr>
              <w:t>Scrutiny Committee</w:t>
            </w:r>
            <w:r w:rsidR="00F672BA" w:rsidRPr="00FE6504">
              <w:rPr>
                <w:rStyle w:val="Firstpagetablebold"/>
                <w:color w:val="auto"/>
              </w:rPr>
              <w:t xml:space="preserve"> </w:t>
            </w:r>
          </w:p>
        </w:tc>
      </w:tr>
      <w:tr w:rsidR="00CE544A" w:rsidRPr="00975B07" w14:paraId="1BE9E8FF" w14:textId="77777777" w:rsidTr="005F7F7E">
        <w:tc>
          <w:tcPr>
            <w:tcW w:w="2438" w:type="dxa"/>
            <w:shd w:val="clear" w:color="auto" w:fill="auto"/>
          </w:tcPr>
          <w:p w14:paraId="7A027631"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4B7D2B10" w14:textId="52C91F01" w:rsidR="00F445B1" w:rsidRPr="00FE6504" w:rsidRDefault="00FE6504" w:rsidP="0078156F">
            <w:pPr>
              <w:rPr>
                <w:rStyle w:val="Firstpagetablebold"/>
                <w:color w:val="auto"/>
              </w:rPr>
            </w:pPr>
            <w:r w:rsidRPr="00FE6504">
              <w:rPr>
                <w:rStyle w:val="Firstpagetablebold"/>
                <w:color w:val="auto"/>
              </w:rPr>
              <w:t xml:space="preserve">Oxfordshire Inclusive Economy </w:t>
            </w:r>
            <w:r>
              <w:rPr>
                <w:rStyle w:val="Firstpagetablebold"/>
                <w:color w:val="auto"/>
              </w:rPr>
              <w:t xml:space="preserve">Partnership </w:t>
            </w:r>
            <w:r w:rsidRPr="00FE6504">
              <w:rPr>
                <w:rStyle w:val="Firstpagetablebold"/>
                <w:color w:val="auto"/>
              </w:rPr>
              <w:t>Charter/Pledges – Annual Update</w:t>
            </w:r>
            <w:r w:rsidR="004B5EC0" w:rsidRPr="00FE6504">
              <w:rPr>
                <w:rStyle w:val="Firstpagetablebold"/>
                <w:color w:val="auto"/>
              </w:rPr>
              <w:t xml:space="preserve"> </w:t>
            </w:r>
          </w:p>
        </w:tc>
      </w:tr>
    </w:tbl>
    <w:p w14:paraId="779C2C7D"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367948EB" w14:textId="77777777" w:rsidTr="0080749A">
        <w:tc>
          <w:tcPr>
            <w:tcW w:w="8845" w:type="dxa"/>
            <w:gridSpan w:val="2"/>
            <w:tcBorders>
              <w:bottom w:val="single" w:sz="8" w:space="0" w:color="000000"/>
            </w:tcBorders>
            <w:hideMark/>
          </w:tcPr>
          <w:p w14:paraId="3D63BDE8"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07D05C13" w14:textId="77777777" w:rsidTr="0080749A">
        <w:tc>
          <w:tcPr>
            <w:tcW w:w="2438" w:type="dxa"/>
            <w:tcBorders>
              <w:top w:val="single" w:sz="8" w:space="0" w:color="000000"/>
              <w:left w:val="single" w:sz="8" w:space="0" w:color="000000"/>
              <w:bottom w:val="nil"/>
              <w:right w:val="nil"/>
            </w:tcBorders>
            <w:hideMark/>
          </w:tcPr>
          <w:p w14:paraId="65EF3ED4"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264A3497" w14:textId="76AED945" w:rsidR="00D5547E" w:rsidRPr="00FE6504" w:rsidRDefault="00EF2280" w:rsidP="005325E4">
            <w:pPr>
              <w:rPr>
                <w:color w:val="auto"/>
              </w:rPr>
            </w:pPr>
            <w:r w:rsidRPr="00FE6504">
              <w:rPr>
                <w:color w:val="auto"/>
              </w:rPr>
              <w:t xml:space="preserve">To present Scrutiny Committee recommendations </w:t>
            </w:r>
            <w:r w:rsidR="005325E4" w:rsidRPr="00FE6504">
              <w:rPr>
                <w:color w:val="auto"/>
              </w:rPr>
              <w:t>for Cabinet consideration and decision</w:t>
            </w:r>
          </w:p>
        </w:tc>
      </w:tr>
      <w:tr w:rsidR="00D5547E" w14:paraId="47CF3211" w14:textId="77777777" w:rsidTr="0080749A">
        <w:tc>
          <w:tcPr>
            <w:tcW w:w="2438" w:type="dxa"/>
            <w:tcBorders>
              <w:top w:val="nil"/>
              <w:left w:val="single" w:sz="8" w:space="0" w:color="000000"/>
              <w:bottom w:val="nil"/>
              <w:right w:val="nil"/>
            </w:tcBorders>
            <w:hideMark/>
          </w:tcPr>
          <w:p w14:paraId="5F6908DC" w14:textId="77777777" w:rsidR="00D5547E" w:rsidRDefault="00D5547E">
            <w:pPr>
              <w:rPr>
                <w:rStyle w:val="Firstpagetablebold"/>
              </w:rPr>
            </w:pPr>
            <w:r>
              <w:rPr>
                <w:rStyle w:val="Firstpagetablebold"/>
              </w:rPr>
              <w:t>Key decision:</w:t>
            </w:r>
          </w:p>
          <w:p w14:paraId="5B85D675" w14:textId="77777777" w:rsidR="001D14DE" w:rsidRDefault="001D14DE">
            <w:pPr>
              <w:rPr>
                <w:rStyle w:val="Firstpagetablebold"/>
              </w:rPr>
            </w:pPr>
            <w:r>
              <w:rPr>
                <w:rStyle w:val="Firstpagetablebold"/>
              </w:rPr>
              <w:t>Scrutiny Lead Member:</w:t>
            </w:r>
          </w:p>
        </w:tc>
        <w:tc>
          <w:tcPr>
            <w:tcW w:w="6407" w:type="dxa"/>
            <w:tcBorders>
              <w:top w:val="nil"/>
              <w:left w:val="nil"/>
              <w:bottom w:val="nil"/>
              <w:right w:val="single" w:sz="8" w:space="0" w:color="000000"/>
            </w:tcBorders>
            <w:hideMark/>
          </w:tcPr>
          <w:p w14:paraId="38812DFB" w14:textId="57564A34" w:rsidR="00D5547E" w:rsidRPr="00FE6504" w:rsidRDefault="004B5EC0" w:rsidP="005F7F7E">
            <w:pPr>
              <w:rPr>
                <w:bCs/>
                <w:color w:val="auto"/>
              </w:rPr>
            </w:pPr>
            <w:r w:rsidRPr="00FE6504">
              <w:rPr>
                <w:bCs/>
                <w:color w:val="auto"/>
              </w:rPr>
              <w:t>No</w:t>
            </w:r>
          </w:p>
          <w:p w14:paraId="4ECDCA1A" w14:textId="3EE81BF9" w:rsidR="001D14DE" w:rsidRPr="00FE6504" w:rsidRDefault="001D14DE" w:rsidP="005325E4">
            <w:pPr>
              <w:rPr>
                <w:color w:val="auto"/>
              </w:rPr>
            </w:pPr>
            <w:r w:rsidRPr="00FE6504">
              <w:rPr>
                <w:color w:val="auto"/>
              </w:rPr>
              <w:t>Councillor</w:t>
            </w:r>
            <w:r w:rsidR="00FE6504" w:rsidRPr="00FE6504">
              <w:rPr>
                <w:color w:val="auto"/>
              </w:rPr>
              <w:t xml:space="preserve"> Katherine Miles</w:t>
            </w:r>
            <w:r w:rsidR="005325E4" w:rsidRPr="00FE6504">
              <w:rPr>
                <w:color w:val="auto"/>
              </w:rPr>
              <w:t>, Scrutiny Committee Chair</w:t>
            </w:r>
            <w:r w:rsidR="00F672BA" w:rsidRPr="00FE6504">
              <w:rPr>
                <w:color w:val="auto"/>
              </w:rPr>
              <w:t xml:space="preserve"> </w:t>
            </w:r>
          </w:p>
        </w:tc>
      </w:tr>
      <w:tr w:rsidR="00D5547E" w14:paraId="4D2B1785" w14:textId="77777777" w:rsidTr="0080749A">
        <w:tc>
          <w:tcPr>
            <w:tcW w:w="2438" w:type="dxa"/>
            <w:tcBorders>
              <w:top w:val="nil"/>
              <w:left w:val="single" w:sz="8" w:space="0" w:color="000000"/>
              <w:bottom w:val="nil"/>
              <w:right w:val="nil"/>
            </w:tcBorders>
            <w:hideMark/>
          </w:tcPr>
          <w:p w14:paraId="72C0A238" w14:textId="77777777" w:rsidR="00D5547E" w:rsidRPr="00EF2280" w:rsidRDefault="005325E4">
            <w:pPr>
              <w:rPr>
                <w:rStyle w:val="Firstpagetablebold"/>
              </w:rPr>
            </w:pPr>
            <w:r>
              <w:rPr>
                <w:rStyle w:val="Firstpagetablebold"/>
              </w:rPr>
              <w:t>Cabinet</w:t>
            </w:r>
            <w:r w:rsidR="00D5547E" w:rsidRPr="00EF2280">
              <w:rPr>
                <w:rStyle w:val="Firstpagetablebold"/>
              </w:rPr>
              <w:t xml:space="preserve"> Member:</w:t>
            </w:r>
          </w:p>
        </w:tc>
        <w:tc>
          <w:tcPr>
            <w:tcW w:w="6407" w:type="dxa"/>
            <w:tcBorders>
              <w:top w:val="nil"/>
              <w:left w:val="nil"/>
              <w:bottom w:val="nil"/>
              <w:right w:val="single" w:sz="8" w:space="0" w:color="000000"/>
            </w:tcBorders>
            <w:hideMark/>
          </w:tcPr>
          <w:p w14:paraId="631C3BB2" w14:textId="30AA6890" w:rsidR="00D5547E" w:rsidRPr="00FE6504" w:rsidRDefault="00D5547E" w:rsidP="00FE6504">
            <w:pPr>
              <w:rPr>
                <w:color w:val="auto"/>
              </w:rPr>
            </w:pPr>
            <w:r w:rsidRPr="00FE6504">
              <w:rPr>
                <w:color w:val="auto"/>
              </w:rPr>
              <w:t xml:space="preserve">Councillor </w:t>
            </w:r>
            <w:r w:rsidR="00FE6504" w:rsidRPr="00FE6504">
              <w:rPr>
                <w:bCs/>
                <w:color w:val="auto"/>
              </w:rPr>
              <w:t>Susan Brown</w:t>
            </w:r>
            <w:r w:rsidR="008F3A4D" w:rsidRPr="00FE6504">
              <w:rPr>
                <w:color w:val="auto"/>
              </w:rPr>
              <w:t xml:space="preserve">, </w:t>
            </w:r>
            <w:r w:rsidR="00FE6504" w:rsidRPr="00FE6504">
              <w:rPr>
                <w:color w:val="auto"/>
              </w:rPr>
              <w:t xml:space="preserve">Leader of the Council and </w:t>
            </w:r>
            <w:r w:rsidR="005325E4" w:rsidRPr="00FE6504">
              <w:rPr>
                <w:color w:val="auto"/>
              </w:rPr>
              <w:t>Cabinet</w:t>
            </w:r>
            <w:r w:rsidR="008F3A4D" w:rsidRPr="00FE6504">
              <w:rPr>
                <w:color w:val="auto"/>
              </w:rPr>
              <w:t xml:space="preserve"> Member for </w:t>
            </w:r>
            <w:r w:rsidR="00FE6504" w:rsidRPr="00FE6504">
              <w:rPr>
                <w:bCs/>
                <w:color w:val="auto"/>
              </w:rPr>
              <w:t xml:space="preserve">Partnership Working; Councillor Nigel Chapman, Cabinet Member for Citizen Focused Services and Council Companies; Councillor Alex Hollingsworth, Cabinet Member for Business, </w:t>
            </w:r>
            <w:proofErr w:type="gramStart"/>
            <w:r w:rsidR="00FE6504" w:rsidRPr="00FE6504">
              <w:rPr>
                <w:bCs/>
                <w:color w:val="auto"/>
              </w:rPr>
              <w:t>Culture</w:t>
            </w:r>
            <w:proofErr w:type="gramEnd"/>
            <w:r w:rsidR="00FE6504" w:rsidRPr="00FE6504">
              <w:rPr>
                <w:bCs/>
                <w:color w:val="auto"/>
              </w:rPr>
              <w:t xml:space="preserve"> and an Inclusive Economy</w:t>
            </w:r>
          </w:p>
        </w:tc>
      </w:tr>
      <w:tr w:rsidR="0080749A" w14:paraId="267A0B2D" w14:textId="77777777" w:rsidTr="0080749A">
        <w:tc>
          <w:tcPr>
            <w:tcW w:w="2438" w:type="dxa"/>
            <w:tcBorders>
              <w:top w:val="nil"/>
              <w:left w:val="single" w:sz="8" w:space="0" w:color="000000"/>
              <w:bottom w:val="nil"/>
              <w:right w:val="nil"/>
            </w:tcBorders>
          </w:tcPr>
          <w:p w14:paraId="09322CD3"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64EE5685" w14:textId="6913D410" w:rsidR="0080749A" w:rsidRPr="00FE6504" w:rsidRDefault="00FE6504" w:rsidP="005F7F7E">
            <w:pPr>
              <w:rPr>
                <w:bCs/>
                <w:color w:val="auto"/>
              </w:rPr>
            </w:pPr>
            <w:r w:rsidRPr="00FE6504">
              <w:rPr>
                <w:bCs/>
                <w:color w:val="auto"/>
              </w:rPr>
              <w:t>Strong, Fair Economy</w:t>
            </w:r>
          </w:p>
        </w:tc>
      </w:tr>
      <w:tr w:rsidR="00D5547E" w14:paraId="3B4F97F8" w14:textId="77777777" w:rsidTr="0080749A">
        <w:tc>
          <w:tcPr>
            <w:tcW w:w="2438" w:type="dxa"/>
            <w:tcBorders>
              <w:top w:val="nil"/>
              <w:left w:val="single" w:sz="8" w:space="0" w:color="000000"/>
              <w:bottom w:val="nil"/>
              <w:right w:val="nil"/>
            </w:tcBorders>
            <w:hideMark/>
          </w:tcPr>
          <w:p w14:paraId="330B958A" w14:textId="77777777" w:rsidR="00D5547E" w:rsidRDefault="00D5547E">
            <w:pPr>
              <w:rPr>
                <w:rStyle w:val="Firstpagetablebold"/>
              </w:rPr>
            </w:pPr>
            <w:r>
              <w:rPr>
                <w:rStyle w:val="Firstpagetablebold"/>
              </w:rPr>
              <w:t>Policy Framework:</w:t>
            </w:r>
          </w:p>
        </w:tc>
        <w:tc>
          <w:tcPr>
            <w:tcW w:w="6407" w:type="dxa"/>
            <w:tcBorders>
              <w:top w:val="nil"/>
              <w:left w:val="nil"/>
              <w:bottom w:val="nil"/>
              <w:right w:val="single" w:sz="8" w:space="0" w:color="000000"/>
            </w:tcBorders>
            <w:hideMark/>
          </w:tcPr>
          <w:p w14:paraId="5E74A0F4" w14:textId="0307CCBF" w:rsidR="00D5547E" w:rsidRPr="00FE6504" w:rsidRDefault="00FE6504" w:rsidP="008F3A4D">
            <w:pPr>
              <w:rPr>
                <w:bCs/>
                <w:color w:val="auto"/>
              </w:rPr>
            </w:pPr>
            <w:r w:rsidRPr="00FE6504">
              <w:rPr>
                <w:bCs/>
                <w:color w:val="auto"/>
              </w:rPr>
              <w:t>Council Strategy 2024-28</w:t>
            </w:r>
            <w:r w:rsidR="0078156F" w:rsidRPr="00FE6504">
              <w:rPr>
                <w:bCs/>
                <w:color w:val="auto"/>
              </w:rPr>
              <w:t xml:space="preserve"> </w:t>
            </w:r>
          </w:p>
        </w:tc>
      </w:tr>
      <w:tr w:rsidR="005F7F7E" w:rsidRPr="00975B07" w14:paraId="62CC8AC4" w14:textId="77777777" w:rsidTr="00A46E98">
        <w:trPr>
          <w:trHeight w:val="413"/>
        </w:trPr>
        <w:tc>
          <w:tcPr>
            <w:tcW w:w="8845" w:type="dxa"/>
            <w:gridSpan w:val="2"/>
            <w:tcBorders>
              <w:bottom w:val="single" w:sz="8" w:space="0" w:color="000000"/>
            </w:tcBorders>
          </w:tcPr>
          <w:p w14:paraId="7785CB13" w14:textId="77777777" w:rsidR="005F7F7E" w:rsidRPr="00975B07" w:rsidRDefault="005F7F7E" w:rsidP="005325E4">
            <w:r>
              <w:rPr>
                <w:rStyle w:val="Firstpagetablebold"/>
              </w:rPr>
              <w:t>Recommendation(s):</w:t>
            </w:r>
            <w:r w:rsidR="00F672BA">
              <w:rPr>
                <w:rStyle w:val="Firstpagetablebold"/>
              </w:rPr>
              <w:t xml:space="preserve"> </w:t>
            </w:r>
            <w:r>
              <w:rPr>
                <w:rStyle w:val="Firstpagetablebold"/>
              </w:rPr>
              <w:t xml:space="preserve">That </w:t>
            </w:r>
            <w:r w:rsidR="00EF2280">
              <w:rPr>
                <w:rStyle w:val="Firstpagetablebold"/>
              </w:rPr>
              <w:t xml:space="preserve">the </w:t>
            </w:r>
            <w:r w:rsidR="005325E4">
              <w:rPr>
                <w:rStyle w:val="Firstpagetablebold"/>
              </w:rPr>
              <w:t>Cabinet</w:t>
            </w:r>
            <w:r w:rsidR="00EF2280">
              <w:rPr>
                <w:rStyle w:val="Firstpagetablebold"/>
              </w:rPr>
              <w:t xml:space="preserve"> states whether it agrees or disagrees with the recommendations in the body of this report</w:t>
            </w:r>
          </w:p>
        </w:tc>
      </w:tr>
    </w:tbl>
    <w:p w14:paraId="5BF46C93"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6078F1ED"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4AF62868" w14:textId="77777777" w:rsidR="00966D42" w:rsidRPr="00975B07" w:rsidRDefault="00966D42" w:rsidP="00263EA3">
            <w:pPr>
              <w:jc w:val="center"/>
            </w:pPr>
            <w:r w:rsidRPr="00745BF0">
              <w:rPr>
                <w:rStyle w:val="Firstpagetablebold"/>
              </w:rPr>
              <w:t>Appendices</w:t>
            </w:r>
          </w:p>
        </w:tc>
      </w:tr>
      <w:tr w:rsidR="0030208D" w:rsidRPr="00975B07" w14:paraId="4B637A4C" w14:textId="77777777" w:rsidTr="00A46E98">
        <w:tc>
          <w:tcPr>
            <w:tcW w:w="2438" w:type="dxa"/>
            <w:tcBorders>
              <w:top w:val="nil"/>
              <w:left w:val="single" w:sz="8" w:space="0" w:color="000000"/>
              <w:bottom w:val="single" w:sz="8" w:space="0" w:color="000000"/>
              <w:right w:val="nil"/>
            </w:tcBorders>
            <w:shd w:val="clear" w:color="auto" w:fill="auto"/>
          </w:tcPr>
          <w:p w14:paraId="1AE5EA44" w14:textId="77777777" w:rsidR="0030208D" w:rsidRPr="005325E4" w:rsidRDefault="005325E4" w:rsidP="004A6D2F">
            <w:pPr>
              <w:rPr>
                <w:b/>
              </w:rPr>
            </w:pPr>
            <w:r w:rsidRPr="005325E4">
              <w:rPr>
                <w:b/>
              </w:rPr>
              <w:t>Appendix A</w:t>
            </w:r>
          </w:p>
        </w:tc>
        <w:tc>
          <w:tcPr>
            <w:tcW w:w="6406" w:type="dxa"/>
            <w:tcBorders>
              <w:top w:val="nil"/>
              <w:left w:val="nil"/>
              <w:bottom w:val="single" w:sz="8" w:space="0" w:color="000000"/>
              <w:right w:val="single" w:sz="8" w:space="0" w:color="000000"/>
            </w:tcBorders>
          </w:tcPr>
          <w:p w14:paraId="0158EC07" w14:textId="77777777" w:rsidR="0030208D" w:rsidRPr="001356F1" w:rsidRDefault="005325E4" w:rsidP="004A6D2F">
            <w:r>
              <w:t xml:space="preserve">Draft Cabinet response to </w:t>
            </w:r>
            <w:r w:rsidR="00F672BA">
              <w:t xml:space="preserve">Scrutiny </w:t>
            </w:r>
            <w:r>
              <w:t>recommendations</w:t>
            </w:r>
          </w:p>
        </w:tc>
      </w:tr>
    </w:tbl>
    <w:p w14:paraId="42578077" w14:textId="77777777" w:rsidR="008B49EB" w:rsidRDefault="008B49EB" w:rsidP="007F4787">
      <w:pPr>
        <w:pStyle w:val="Heading1"/>
        <w:spacing w:before="0"/>
        <w:contextualSpacing/>
      </w:pPr>
    </w:p>
    <w:p w14:paraId="31E825C8" w14:textId="77777777" w:rsidR="0040736F" w:rsidRPr="001356F1" w:rsidRDefault="00F66DCA" w:rsidP="007F4787">
      <w:pPr>
        <w:pStyle w:val="Heading1"/>
        <w:spacing w:before="0"/>
        <w:contextualSpacing/>
      </w:pPr>
      <w:r w:rsidRPr="001356F1">
        <w:t xml:space="preserve">Introduction and </w:t>
      </w:r>
      <w:r w:rsidR="000A2D16">
        <w:t>overview</w:t>
      </w:r>
    </w:p>
    <w:p w14:paraId="767DD2AA" w14:textId="2ABBAA92" w:rsidR="00FE6504" w:rsidRPr="00FE6504" w:rsidRDefault="00EF2280" w:rsidP="00053E54">
      <w:pPr>
        <w:pStyle w:val="ListParagraph"/>
        <w:tabs>
          <w:tab w:val="clear" w:pos="426"/>
          <w:tab w:val="left" w:pos="284"/>
        </w:tabs>
        <w:spacing w:after="0"/>
        <w:ind w:left="284"/>
        <w:jc w:val="both"/>
        <w:rPr>
          <w:color w:val="auto"/>
        </w:rPr>
      </w:pPr>
      <w:r w:rsidRPr="00FE6504">
        <w:rPr>
          <w:color w:val="auto"/>
        </w:rPr>
        <w:t>The S</w:t>
      </w:r>
      <w:r w:rsidR="008F3A4D" w:rsidRPr="00FE6504">
        <w:rPr>
          <w:color w:val="auto"/>
        </w:rPr>
        <w:t xml:space="preserve">crutiny Committee </w:t>
      </w:r>
      <w:r w:rsidR="00F672BA" w:rsidRPr="00FE6504">
        <w:rPr>
          <w:color w:val="auto"/>
        </w:rPr>
        <w:t xml:space="preserve">met on </w:t>
      </w:r>
      <w:r w:rsidR="00FE6504" w:rsidRPr="00FE6504">
        <w:rPr>
          <w:color w:val="auto"/>
        </w:rPr>
        <w:t>03 September 2024</w:t>
      </w:r>
      <w:r w:rsidR="00F672BA" w:rsidRPr="00FE6504">
        <w:rPr>
          <w:color w:val="auto"/>
        </w:rPr>
        <w:t xml:space="preserve"> to consider a</w:t>
      </w:r>
      <w:r w:rsidR="00FE6504" w:rsidRPr="00FE6504">
        <w:rPr>
          <w:color w:val="auto"/>
        </w:rPr>
        <w:t>n annual update</w:t>
      </w:r>
      <w:r w:rsidR="00F672BA" w:rsidRPr="00FE6504">
        <w:rPr>
          <w:color w:val="auto"/>
        </w:rPr>
        <w:t xml:space="preserve"> report on</w:t>
      </w:r>
      <w:r w:rsidR="00FE6504" w:rsidRPr="00FE6504">
        <w:rPr>
          <w:color w:val="auto"/>
        </w:rPr>
        <w:t xml:space="preserve"> the Oxfordshire Inclusive Economy Partnership (OIEP) Charter/Pledges.</w:t>
      </w:r>
      <w:r w:rsidR="00F672BA" w:rsidRPr="00FE6504">
        <w:rPr>
          <w:color w:val="auto"/>
        </w:rPr>
        <w:t xml:space="preserve"> The report</w:t>
      </w:r>
      <w:r w:rsidR="00FE6504" w:rsidRPr="00FE6504">
        <w:rPr>
          <w:color w:val="auto"/>
        </w:rPr>
        <w:t xml:space="preserve"> was the first annual report setting out an organisational audit against the OIEP pledges; the report was in response to a recommendation of the Committee in on 04 July 2023 when the OIEP Charter/Pledges was presented prior to Cabinet approval in July 2023. The Committee was recommended to note and comment on the report and agree any recommendations.</w:t>
      </w:r>
    </w:p>
    <w:p w14:paraId="7E348190" w14:textId="77777777" w:rsidR="00F672BA" w:rsidRDefault="00F672BA" w:rsidP="00F672BA">
      <w:pPr>
        <w:pStyle w:val="ListParagraph"/>
        <w:numPr>
          <w:ilvl w:val="0"/>
          <w:numId w:val="0"/>
        </w:numPr>
        <w:spacing w:after="0"/>
        <w:ind w:left="426"/>
      </w:pPr>
    </w:p>
    <w:p w14:paraId="3F5B5DCF" w14:textId="25E3EA06" w:rsidR="00E87F7A" w:rsidRPr="00053E54" w:rsidRDefault="008F3A4D" w:rsidP="00053E54">
      <w:pPr>
        <w:pStyle w:val="ListParagraph"/>
        <w:tabs>
          <w:tab w:val="clear" w:pos="426"/>
          <w:tab w:val="left" w:pos="284"/>
        </w:tabs>
        <w:spacing w:after="0"/>
        <w:ind w:left="284"/>
        <w:jc w:val="both"/>
        <w:rPr>
          <w:color w:val="auto"/>
        </w:rPr>
      </w:pPr>
      <w:r w:rsidRPr="00053E54">
        <w:rPr>
          <w:color w:val="auto"/>
        </w:rPr>
        <w:t xml:space="preserve">The </w:t>
      </w:r>
      <w:r w:rsidR="00EF2280" w:rsidRPr="00053E54">
        <w:rPr>
          <w:color w:val="auto"/>
        </w:rPr>
        <w:t>Committee would like to thank</w:t>
      </w:r>
      <w:r w:rsidR="0078156F" w:rsidRPr="00053E54">
        <w:rPr>
          <w:color w:val="auto"/>
        </w:rPr>
        <w:t xml:space="preserve"> Councillor </w:t>
      </w:r>
      <w:r w:rsidR="00FE6504" w:rsidRPr="00053E54">
        <w:rPr>
          <w:color w:val="auto"/>
        </w:rPr>
        <w:t>Susan</w:t>
      </w:r>
      <w:r w:rsidR="00F672BA" w:rsidRPr="00053E54">
        <w:rPr>
          <w:color w:val="auto"/>
        </w:rPr>
        <w:t xml:space="preserve"> </w:t>
      </w:r>
      <w:r w:rsidR="00FE6504" w:rsidRPr="00053E54">
        <w:rPr>
          <w:color w:val="auto"/>
        </w:rPr>
        <w:t>Brown</w:t>
      </w:r>
      <w:r w:rsidR="00F672BA" w:rsidRPr="00053E54">
        <w:rPr>
          <w:color w:val="auto"/>
        </w:rPr>
        <w:t xml:space="preserve"> (</w:t>
      </w:r>
      <w:r w:rsidR="00FE6504" w:rsidRPr="00053E54">
        <w:rPr>
          <w:color w:val="auto"/>
        </w:rPr>
        <w:t xml:space="preserve">Leader of the Council and </w:t>
      </w:r>
      <w:r w:rsidR="00F672BA" w:rsidRPr="00053E54">
        <w:rPr>
          <w:color w:val="auto"/>
        </w:rPr>
        <w:t xml:space="preserve">Cabinet Member for </w:t>
      </w:r>
      <w:r w:rsidR="00FE6504" w:rsidRPr="00053E54">
        <w:rPr>
          <w:color w:val="auto"/>
        </w:rPr>
        <w:t>Partnership Working</w:t>
      </w:r>
      <w:r w:rsidR="00F672BA" w:rsidRPr="00053E54">
        <w:rPr>
          <w:color w:val="auto"/>
        </w:rPr>
        <w:t>)</w:t>
      </w:r>
      <w:r w:rsidR="00FE6504" w:rsidRPr="00053E54">
        <w:rPr>
          <w:color w:val="auto"/>
        </w:rPr>
        <w:t xml:space="preserve">, Councillor Nigel Chapman (Cabinet </w:t>
      </w:r>
      <w:r w:rsidR="00FE6504" w:rsidRPr="00053E54">
        <w:rPr>
          <w:color w:val="auto"/>
        </w:rPr>
        <w:lastRenderedPageBreak/>
        <w:t xml:space="preserve">Member for Citizen Focused Services and Council Companies), Clayton </w:t>
      </w:r>
      <w:proofErr w:type="spellStart"/>
      <w:r w:rsidR="00FE6504" w:rsidRPr="00053E54">
        <w:rPr>
          <w:color w:val="auto"/>
        </w:rPr>
        <w:t>Lavallin</w:t>
      </w:r>
      <w:proofErr w:type="spellEnd"/>
      <w:r w:rsidR="00FE6504" w:rsidRPr="00053E54">
        <w:rPr>
          <w:color w:val="auto"/>
        </w:rPr>
        <w:t xml:space="preserve"> (Economic Development </w:t>
      </w:r>
      <w:r w:rsidR="00053E54" w:rsidRPr="00053E54">
        <w:rPr>
          <w:color w:val="auto"/>
        </w:rPr>
        <w:t>Team Leader)</w:t>
      </w:r>
      <w:r w:rsidRPr="00053E54">
        <w:rPr>
          <w:color w:val="auto"/>
        </w:rPr>
        <w:t xml:space="preserve"> and </w:t>
      </w:r>
      <w:r w:rsidR="00053E54" w:rsidRPr="00053E54">
        <w:rPr>
          <w:color w:val="auto"/>
        </w:rPr>
        <w:t>Emma</w:t>
      </w:r>
      <w:r w:rsidR="00F672BA" w:rsidRPr="00053E54">
        <w:rPr>
          <w:color w:val="auto"/>
        </w:rPr>
        <w:t xml:space="preserve"> </w:t>
      </w:r>
      <w:r w:rsidR="00053E54" w:rsidRPr="00053E54">
        <w:rPr>
          <w:color w:val="auto"/>
        </w:rPr>
        <w:t>Coles</w:t>
      </w:r>
      <w:r w:rsidR="004A7990" w:rsidRPr="00053E54">
        <w:rPr>
          <w:color w:val="auto"/>
        </w:rPr>
        <w:t xml:space="preserve"> </w:t>
      </w:r>
      <w:r w:rsidRPr="00053E54">
        <w:rPr>
          <w:rFonts w:cs="Arial"/>
          <w:color w:val="auto"/>
        </w:rPr>
        <w:t>(</w:t>
      </w:r>
      <w:r w:rsidR="00053E54" w:rsidRPr="00053E54">
        <w:rPr>
          <w:rFonts w:cs="Arial"/>
          <w:color w:val="auto"/>
        </w:rPr>
        <w:t>OIEP Manager</w:t>
      </w:r>
      <w:r w:rsidRPr="00053E54">
        <w:rPr>
          <w:rFonts w:cs="Arial"/>
          <w:color w:val="auto"/>
          <w:shd w:val="clear" w:color="auto" w:fill="FFFFFF"/>
        </w:rPr>
        <w:t>)</w:t>
      </w:r>
      <w:r w:rsidRPr="00053E54">
        <w:rPr>
          <w:color w:val="auto"/>
        </w:rPr>
        <w:t xml:space="preserve"> </w:t>
      </w:r>
      <w:r w:rsidR="0078156F" w:rsidRPr="00053E54">
        <w:rPr>
          <w:color w:val="auto"/>
        </w:rPr>
        <w:t xml:space="preserve">for attending the meeting to </w:t>
      </w:r>
      <w:r w:rsidR="00025603" w:rsidRPr="00053E54">
        <w:rPr>
          <w:color w:val="auto"/>
        </w:rPr>
        <w:t>answer questions.</w:t>
      </w:r>
    </w:p>
    <w:p w14:paraId="2F2AA8A4" w14:textId="77777777" w:rsidR="004B1479" w:rsidRPr="00053E54" w:rsidRDefault="000A2D16" w:rsidP="004B1479">
      <w:pPr>
        <w:pStyle w:val="Heading1"/>
        <w:spacing w:after="0"/>
        <w:rPr>
          <w:color w:val="auto"/>
        </w:rPr>
      </w:pPr>
      <w:r w:rsidRPr="00053E54">
        <w:rPr>
          <w:color w:val="auto"/>
        </w:rPr>
        <w:t>Summary and recommendations</w:t>
      </w:r>
    </w:p>
    <w:p w14:paraId="12945846" w14:textId="77777777" w:rsidR="004B1479" w:rsidRPr="004B1479" w:rsidRDefault="004B1479" w:rsidP="004B1479">
      <w:pPr>
        <w:spacing w:after="0"/>
      </w:pPr>
    </w:p>
    <w:p w14:paraId="600B2DD9" w14:textId="1CE326FD" w:rsidR="00025603" w:rsidRPr="00053E54" w:rsidRDefault="00053E54" w:rsidP="00053E54">
      <w:pPr>
        <w:pStyle w:val="ListParagraph"/>
        <w:tabs>
          <w:tab w:val="clear" w:pos="426"/>
          <w:tab w:val="left" w:pos="284"/>
        </w:tabs>
        <w:ind w:left="284"/>
        <w:jc w:val="both"/>
        <w:rPr>
          <w:rFonts w:ascii="Arial-BoldMT" w:hAnsi="Arial-BoldMT" w:cs="Arial-BoldMT"/>
          <w:bCs/>
          <w:color w:val="auto"/>
        </w:rPr>
      </w:pPr>
      <w:r w:rsidRPr="00053E54">
        <w:rPr>
          <w:rFonts w:ascii="Arial-BoldMT" w:hAnsi="Arial-BoldMT" w:cs="Arial-BoldMT"/>
          <w:bCs/>
          <w:color w:val="auto"/>
        </w:rPr>
        <w:t xml:space="preserve">Clayton </w:t>
      </w:r>
      <w:proofErr w:type="spellStart"/>
      <w:r w:rsidRPr="00053E54">
        <w:rPr>
          <w:rFonts w:ascii="Arial-BoldMT" w:hAnsi="Arial-BoldMT" w:cs="Arial-BoldMT"/>
          <w:bCs/>
          <w:color w:val="auto"/>
        </w:rPr>
        <w:t>Lavallin</w:t>
      </w:r>
      <w:proofErr w:type="spellEnd"/>
      <w:r w:rsidRPr="00053E54">
        <w:rPr>
          <w:rFonts w:ascii="Arial-BoldMT" w:hAnsi="Arial-BoldMT" w:cs="Arial-BoldMT"/>
          <w:bCs/>
          <w:color w:val="auto"/>
        </w:rPr>
        <w:t>, Economic Development Team Leader</w:t>
      </w:r>
      <w:r w:rsidR="00025603" w:rsidRPr="00053E54">
        <w:rPr>
          <w:color w:val="auto"/>
        </w:rPr>
        <w:t xml:space="preserve"> introduced the report. The report provided an update on</w:t>
      </w:r>
      <w:r w:rsidRPr="00053E54">
        <w:rPr>
          <w:color w:val="auto"/>
        </w:rPr>
        <w:t xml:space="preserve"> year one progress against the OIEP pledges and a full organisational audit against the complete list of possible pledges</w:t>
      </w:r>
      <w:r w:rsidR="00025603" w:rsidRPr="00053E54">
        <w:rPr>
          <w:color w:val="auto"/>
        </w:rPr>
        <w:t xml:space="preserve">. </w:t>
      </w:r>
      <w:r w:rsidRPr="00053E54">
        <w:rPr>
          <w:color w:val="auto"/>
        </w:rPr>
        <w:t>This was in response to a previous recommendation of the Scrutiny Committee on 04 July 2023.</w:t>
      </w:r>
    </w:p>
    <w:p w14:paraId="27EAD56B" w14:textId="77777777" w:rsidR="00025603" w:rsidRDefault="00025603" w:rsidP="00025603">
      <w:pPr>
        <w:spacing w:after="0"/>
        <w:ind w:left="426"/>
        <w:jc w:val="both"/>
        <w:rPr>
          <w:rFonts w:ascii="Arial-BoldMT" w:hAnsi="Arial-BoldMT" w:cs="Arial-BoldMT"/>
          <w:bCs/>
          <w:color w:val="auto"/>
        </w:rPr>
      </w:pPr>
    </w:p>
    <w:p w14:paraId="770A3FD0" w14:textId="3178324A" w:rsidR="00025603" w:rsidRPr="00F506D8" w:rsidRDefault="00025603" w:rsidP="00F506D8">
      <w:pPr>
        <w:pStyle w:val="ListParagraph"/>
        <w:tabs>
          <w:tab w:val="clear" w:pos="426"/>
          <w:tab w:val="left" w:pos="284"/>
        </w:tabs>
        <w:ind w:left="284"/>
        <w:jc w:val="both"/>
        <w:rPr>
          <w:color w:val="auto"/>
        </w:rPr>
      </w:pPr>
      <w:r w:rsidRPr="00F506D8">
        <w:rPr>
          <w:color w:val="auto"/>
        </w:rPr>
        <w:t>The Committee asked a range of questions, including questions relating to</w:t>
      </w:r>
      <w:r w:rsidR="00053E54" w:rsidRPr="00F506D8">
        <w:rPr>
          <w:color w:val="auto"/>
        </w:rPr>
        <w:t xml:space="preserve"> the use of data to evidence progressing pledges; the importance of disaggregated data in showing progress towards specific pledges; </w:t>
      </w:r>
      <w:r w:rsidR="00F506D8" w:rsidRPr="00F506D8">
        <w:rPr>
          <w:color w:val="auto"/>
        </w:rPr>
        <w:t xml:space="preserve">and </w:t>
      </w:r>
      <w:r w:rsidR="00053E54" w:rsidRPr="00F506D8">
        <w:rPr>
          <w:color w:val="auto"/>
        </w:rPr>
        <w:t>social value in procurement exercises, particularly in relation to the Oxford Living Wage.</w:t>
      </w:r>
    </w:p>
    <w:p w14:paraId="5F3EF583" w14:textId="77777777" w:rsidR="00C744C9" w:rsidRPr="00C744C9" w:rsidRDefault="00C744C9" w:rsidP="00154B22">
      <w:pPr>
        <w:pStyle w:val="ListParagraph"/>
        <w:numPr>
          <w:ilvl w:val="0"/>
          <w:numId w:val="0"/>
        </w:numPr>
        <w:spacing w:after="0"/>
        <w:rPr>
          <w:rFonts w:eastAsia="Calibri"/>
        </w:rPr>
      </w:pPr>
    </w:p>
    <w:p w14:paraId="0D5D929C" w14:textId="227D7835" w:rsidR="0062278B" w:rsidRPr="00F506D8" w:rsidRDefault="00025603" w:rsidP="00F506D8">
      <w:pPr>
        <w:pStyle w:val="ListParagraph"/>
        <w:tabs>
          <w:tab w:val="clear" w:pos="426"/>
          <w:tab w:val="left" w:pos="284"/>
        </w:tabs>
        <w:spacing w:after="0"/>
        <w:ind w:left="284"/>
        <w:jc w:val="both"/>
        <w:rPr>
          <w:rFonts w:eastAsia="Calibri"/>
          <w:color w:val="auto"/>
        </w:rPr>
      </w:pPr>
      <w:r w:rsidRPr="00F506D8">
        <w:rPr>
          <w:color w:val="auto"/>
        </w:rPr>
        <w:t xml:space="preserve">In particular, the Committee </w:t>
      </w:r>
      <w:r w:rsidR="00053E54" w:rsidRPr="00F506D8">
        <w:rPr>
          <w:color w:val="auto"/>
        </w:rPr>
        <w:t xml:space="preserve">noted that while the Council had only formally committed to thirteen pledges out of a possible thirty-nine, the Council had made </w:t>
      </w:r>
      <w:r w:rsidR="00F506D8" w:rsidRPr="00F506D8">
        <w:rPr>
          <w:color w:val="auto"/>
        </w:rPr>
        <w:t>significant progress against another of other pledges that it had not signed-up to. In response to questions, the Committee was advised that only thirteen pledges had been committed to as the Council knew it could deliver against them within existing resources. However, the Committee agreed that the Council should sign-up to additional pledges where it was already meeting and/or progressing the requirements of those pledges beyond the thirteen already committed to</w:t>
      </w:r>
      <w:r w:rsidR="00F506D8">
        <w:rPr>
          <w:color w:val="auto"/>
        </w:rPr>
        <w:t>, as it would strengthen the Council’s commitment to driving an inclusive economy.</w:t>
      </w:r>
    </w:p>
    <w:p w14:paraId="59CE335A" w14:textId="77777777" w:rsidR="0062278B" w:rsidRPr="0062278B" w:rsidRDefault="0062278B" w:rsidP="0062278B">
      <w:pPr>
        <w:pStyle w:val="ListParagraph"/>
        <w:numPr>
          <w:ilvl w:val="0"/>
          <w:numId w:val="0"/>
        </w:numPr>
        <w:spacing w:after="0"/>
        <w:ind w:left="426"/>
        <w:rPr>
          <w:rFonts w:eastAsia="Calibri"/>
        </w:rPr>
      </w:pPr>
    </w:p>
    <w:p w14:paraId="5694E4E0" w14:textId="427B4886" w:rsidR="00154B22" w:rsidRDefault="00154B22" w:rsidP="003066CE">
      <w:pPr>
        <w:pStyle w:val="ListParagraph"/>
        <w:numPr>
          <w:ilvl w:val="0"/>
          <w:numId w:val="0"/>
        </w:numPr>
        <w:ind w:left="360"/>
        <w:jc w:val="both"/>
        <w:rPr>
          <w:b/>
          <w:i/>
        </w:rPr>
      </w:pPr>
      <w:r w:rsidRPr="007379B6">
        <w:rPr>
          <w:b/>
          <w:i/>
        </w:rPr>
        <w:t>Recommendation 1</w:t>
      </w:r>
      <w:r w:rsidR="00025603">
        <w:rPr>
          <w:b/>
          <w:i/>
        </w:rPr>
        <w:t>:</w:t>
      </w:r>
      <w:r w:rsidRPr="007379B6">
        <w:rPr>
          <w:b/>
          <w:i/>
        </w:rPr>
        <w:t xml:space="preserve"> That the Council</w:t>
      </w:r>
      <w:r w:rsidR="00F506D8">
        <w:rPr>
          <w:b/>
          <w:i/>
        </w:rPr>
        <w:t xml:space="preserve"> reviews the complete list of OIEP pledges and commits to additional pledges where it is advancing practices or meeting the requirements of pledges not currently committed to, to ensure that the Council’s pledge commitments are aligned to existing and advancing organisational practices.</w:t>
      </w:r>
    </w:p>
    <w:p w14:paraId="291D55C5" w14:textId="77777777" w:rsidR="007D760C" w:rsidRDefault="007D760C" w:rsidP="007D760C">
      <w:pPr>
        <w:pStyle w:val="ListParagraph"/>
        <w:numPr>
          <w:ilvl w:val="0"/>
          <w:numId w:val="0"/>
        </w:numPr>
        <w:spacing w:after="0"/>
        <w:ind w:left="360" w:hanging="360"/>
        <w:rPr>
          <w:b/>
          <w:i/>
        </w:rPr>
      </w:pPr>
    </w:p>
    <w:p w14:paraId="65702BB9" w14:textId="0CEEF516" w:rsidR="007D760C" w:rsidRPr="003066CE" w:rsidRDefault="007D760C" w:rsidP="003066CE">
      <w:pPr>
        <w:pStyle w:val="ListParagraph"/>
        <w:tabs>
          <w:tab w:val="clear" w:pos="426"/>
          <w:tab w:val="left" w:pos="284"/>
        </w:tabs>
        <w:ind w:left="284"/>
        <w:jc w:val="both"/>
        <w:rPr>
          <w:color w:val="auto"/>
        </w:rPr>
      </w:pPr>
      <w:r w:rsidRPr="003066CE">
        <w:rPr>
          <w:color w:val="auto"/>
        </w:rPr>
        <w:t xml:space="preserve">The Committee also </w:t>
      </w:r>
      <w:r w:rsidR="00F506D8" w:rsidRPr="003066CE">
        <w:rPr>
          <w:color w:val="auto"/>
        </w:rPr>
        <w:t xml:space="preserve">discussed the importance of quantitative data in demonstrating progress against the various pledge commitments; including the use of disaggregated data to allow the Committee to drill-down into the detail in areas such as apprenticeships and </w:t>
      </w:r>
      <w:r w:rsidR="00181B77">
        <w:rPr>
          <w:color w:val="auto"/>
        </w:rPr>
        <w:t>ownership of small and medium sized enterprise (SME)</w:t>
      </w:r>
      <w:r w:rsidR="00F506D8" w:rsidRPr="003066CE">
        <w:rPr>
          <w:color w:val="auto"/>
        </w:rPr>
        <w:t xml:space="preserve"> </w:t>
      </w:r>
      <w:r w:rsidR="00181B77">
        <w:rPr>
          <w:color w:val="auto"/>
        </w:rPr>
        <w:t>Council suppliers</w:t>
      </w:r>
      <w:r w:rsidR="00F506D8" w:rsidRPr="003066CE">
        <w:rPr>
          <w:color w:val="auto"/>
        </w:rPr>
        <w:t xml:space="preserve"> (e.g. understanding the demographics behind an overarching number).</w:t>
      </w:r>
      <w:r w:rsidR="003066CE" w:rsidRPr="003066CE">
        <w:rPr>
          <w:color w:val="auto"/>
        </w:rPr>
        <w:t xml:space="preserve"> The Committee agreed that it would be helpful if quantitative </w:t>
      </w:r>
      <w:r w:rsidR="00181B77">
        <w:rPr>
          <w:color w:val="auto"/>
        </w:rPr>
        <w:t xml:space="preserve">and relevant disaggregated </w:t>
      </w:r>
      <w:r w:rsidR="003066CE" w:rsidRPr="003066CE">
        <w:rPr>
          <w:color w:val="auto"/>
        </w:rPr>
        <w:t>data was included in future annual reports.</w:t>
      </w:r>
    </w:p>
    <w:p w14:paraId="1B4A4B26" w14:textId="77777777" w:rsidR="007A7A70" w:rsidRDefault="007A7A70" w:rsidP="007D760C">
      <w:pPr>
        <w:pStyle w:val="ListParagraph"/>
        <w:numPr>
          <w:ilvl w:val="0"/>
          <w:numId w:val="0"/>
        </w:numPr>
        <w:spacing w:after="0"/>
        <w:ind w:left="426" w:hanging="426"/>
        <w:rPr>
          <w:color w:val="auto"/>
        </w:rPr>
      </w:pPr>
    </w:p>
    <w:p w14:paraId="0C31BCB6" w14:textId="1FE7D094" w:rsidR="007D760C" w:rsidRDefault="007D760C" w:rsidP="003066CE">
      <w:pPr>
        <w:pStyle w:val="ListParagraph"/>
        <w:numPr>
          <w:ilvl w:val="0"/>
          <w:numId w:val="0"/>
        </w:numPr>
        <w:ind w:left="360"/>
        <w:jc w:val="both"/>
        <w:rPr>
          <w:b/>
          <w:i/>
        </w:rPr>
      </w:pPr>
      <w:r w:rsidRPr="007379B6">
        <w:rPr>
          <w:b/>
          <w:i/>
        </w:rPr>
        <w:t xml:space="preserve">Recommendation </w:t>
      </w:r>
      <w:r>
        <w:rPr>
          <w:b/>
          <w:i/>
        </w:rPr>
        <w:t>2:</w:t>
      </w:r>
      <w:r w:rsidRPr="007379B6">
        <w:rPr>
          <w:b/>
          <w:i/>
        </w:rPr>
        <w:t xml:space="preserve"> That the Council</w:t>
      </w:r>
      <w:r w:rsidR="003066CE">
        <w:rPr>
          <w:b/>
          <w:i/>
        </w:rPr>
        <w:t xml:space="preserve"> includes quantitative data in future OIEP Charter/Pledges annual update reports to evidence progress, including the use of disaggregated data </w:t>
      </w:r>
      <w:r w:rsidR="00181B77">
        <w:rPr>
          <w:b/>
          <w:i/>
        </w:rPr>
        <w:t xml:space="preserve">on apprenticeships and SME Council suppliers </w:t>
      </w:r>
      <w:r w:rsidR="003066CE">
        <w:rPr>
          <w:b/>
          <w:i/>
        </w:rPr>
        <w:t>to enable more detailed interrogation of the figures.</w:t>
      </w:r>
    </w:p>
    <w:p w14:paraId="6B2145AA" w14:textId="77777777" w:rsidR="007D760C" w:rsidRDefault="007D760C" w:rsidP="002459FB">
      <w:pPr>
        <w:pStyle w:val="ListParagraph"/>
        <w:numPr>
          <w:ilvl w:val="0"/>
          <w:numId w:val="0"/>
        </w:numPr>
        <w:ind w:left="426" w:hanging="426"/>
        <w:rPr>
          <w:color w:val="auto"/>
        </w:rPr>
      </w:pPr>
    </w:p>
    <w:p w14:paraId="092F815E" w14:textId="77777777" w:rsidR="00181B77" w:rsidRDefault="00181B77" w:rsidP="002459FB">
      <w:pPr>
        <w:pStyle w:val="ListParagraph"/>
        <w:numPr>
          <w:ilvl w:val="0"/>
          <w:numId w:val="0"/>
        </w:numPr>
        <w:ind w:left="426" w:hanging="426"/>
        <w:rPr>
          <w:color w:val="auto"/>
        </w:rPr>
      </w:pPr>
    </w:p>
    <w:p w14:paraId="767A89C2" w14:textId="77777777" w:rsidR="007D760C" w:rsidRPr="008E4D66" w:rsidRDefault="007D760C" w:rsidP="002459FB">
      <w:pPr>
        <w:pStyle w:val="ListParagraph"/>
        <w:numPr>
          <w:ilvl w:val="0"/>
          <w:numId w:val="0"/>
        </w:numPr>
        <w:ind w:left="426" w:hanging="426"/>
        <w:rPr>
          <w:color w:val="auto"/>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8E4D66" w14:paraId="2D6868EC"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5603D32F" w14:textId="77777777" w:rsidR="00E87F7A" w:rsidRPr="008E4D66" w:rsidRDefault="00E87F7A" w:rsidP="00A46E98">
            <w:pPr>
              <w:rPr>
                <w:b/>
                <w:color w:val="auto"/>
              </w:rPr>
            </w:pPr>
            <w:r w:rsidRPr="008E4D66">
              <w:rPr>
                <w:b/>
                <w:color w:val="auto"/>
              </w:rPr>
              <w:lastRenderedPageBreak/>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6BC987B7" w14:textId="77777777" w:rsidR="00E87F7A" w:rsidRPr="008E4D66" w:rsidRDefault="00025603" w:rsidP="00A46E98">
            <w:pPr>
              <w:rPr>
                <w:color w:val="auto"/>
              </w:rPr>
            </w:pPr>
            <w:r>
              <w:rPr>
                <w:color w:val="auto"/>
              </w:rPr>
              <w:t>Alice Courtney</w:t>
            </w:r>
          </w:p>
        </w:tc>
      </w:tr>
      <w:tr w:rsidR="00DF093E" w:rsidRPr="008E4D66" w14:paraId="02C865DC"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198DFFE0" w14:textId="77777777" w:rsidR="00E87F7A" w:rsidRPr="008E4D66" w:rsidRDefault="00E87F7A" w:rsidP="00A46E98">
            <w:pPr>
              <w:rPr>
                <w:color w:val="auto"/>
              </w:rPr>
            </w:pPr>
            <w:r w:rsidRPr="008E4D66">
              <w:rPr>
                <w:color w:val="auto"/>
              </w:rPr>
              <w:t>Job title</w:t>
            </w:r>
          </w:p>
        </w:tc>
        <w:tc>
          <w:tcPr>
            <w:tcW w:w="4962" w:type="dxa"/>
            <w:tcBorders>
              <w:top w:val="single" w:sz="8" w:space="0" w:color="000000"/>
              <w:left w:val="nil"/>
              <w:bottom w:val="nil"/>
              <w:right w:val="single" w:sz="8" w:space="0" w:color="000000"/>
            </w:tcBorders>
            <w:shd w:val="clear" w:color="auto" w:fill="auto"/>
          </w:tcPr>
          <w:p w14:paraId="779DFB8E" w14:textId="77777777" w:rsidR="00E87F7A" w:rsidRPr="008E4D66" w:rsidRDefault="00EF2280" w:rsidP="00A46E98">
            <w:pPr>
              <w:rPr>
                <w:color w:val="auto"/>
              </w:rPr>
            </w:pPr>
            <w:r w:rsidRPr="008E4D66">
              <w:rPr>
                <w:color w:val="auto"/>
              </w:rPr>
              <w:t>Scrutiny Officer</w:t>
            </w:r>
          </w:p>
        </w:tc>
      </w:tr>
      <w:tr w:rsidR="00DF093E" w:rsidRPr="008E4D66" w14:paraId="664B109D" w14:textId="77777777" w:rsidTr="00A46E98">
        <w:trPr>
          <w:cantSplit/>
          <w:trHeight w:val="396"/>
        </w:trPr>
        <w:tc>
          <w:tcPr>
            <w:tcW w:w="3969" w:type="dxa"/>
            <w:tcBorders>
              <w:top w:val="nil"/>
              <w:left w:val="single" w:sz="8" w:space="0" w:color="000000"/>
              <w:bottom w:val="nil"/>
              <w:right w:val="nil"/>
            </w:tcBorders>
            <w:shd w:val="clear" w:color="auto" w:fill="auto"/>
          </w:tcPr>
          <w:p w14:paraId="5CF8525B" w14:textId="77777777" w:rsidR="00E87F7A" w:rsidRPr="008E4D66" w:rsidRDefault="00E87F7A" w:rsidP="00A46E98">
            <w:pPr>
              <w:rPr>
                <w:color w:val="auto"/>
              </w:rPr>
            </w:pPr>
            <w:r w:rsidRPr="008E4D66">
              <w:rPr>
                <w:color w:val="auto"/>
              </w:rPr>
              <w:t>Service area or department</w:t>
            </w:r>
          </w:p>
        </w:tc>
        <w:tc>
          <w:tcPr>
            <w:tcW w:w="4962" w:type="dxa"/>
            <w:tcBorders>
              <w:top w:val="nil"/>
              <w:left w:val="nil"/>
              <w:bottom w:val="nil"/>
              <w:right w:val="single" w:sz="8" w:space="0" w:color="000000"/>
            </w:tcBorders>
            <w:shd w:val="clear" w:color="auto" w:fill="auto"/>
          </w:tcPr>
          <w:p w14:paraId="3D7C580F" w14:textId="77777777" w:rsidR="00E87F7A" w:rsidRPr="008E4D66" w:rsidRDefault="00EF2280" w:rsidP="00A46E98">
            <w:pPr>
              <w:rPr>
                <w:color w:val="auto"/>
              </w:rPr>
            </w:pPr>
            <w:r w:rsidRPr="008E4D66">
              <w:rPr>
                <w:color w:val="auto"/>
              </w:rPr>
              <w:t>Law and Governance</w:t>
            </w:r>
          </w:p>
        </w:tc>
      </w:tr>
      <w:tr w:rsidR="00DF093E" w:rsidRPr="008E4D66" w14:paraId="15759039" w14:textId="77777777" w:rsidTr="00A46E98">
        <w:trPr>
          <w:cantSplit/>
          <w:trHeight w:val="396"/>
        </w:trPr>
        <w:tc>
          <w:tcPr>
            <w:tcW w:w="3969" w:type="dxa"/>
            <w:tcBorders>
              <w:top w:val="nil"/>
              <w:left w:val="single" w:sz="8" w:space="0" w:color="000000"/>
              <w:bottom w:val="nil"/>
              <w:right w:val="nil"/>
            </w:tcBorders>
            <w:shd w:val="clear" w:color="auto" w:fill="auto"/>
          </w:tcPr>
          <w:p w14:paraId="68C936B7" w14:textId="77777777" w:rsidR="00E87F7A" w:rsidRPr="008E4D66" w:rsidRDefault="00E87F7A" w:rsidP="00A46E98">
            <w:pPr>
              <w:rPr>
                <w:color w:val="auto"/>
              </w:rPr>
            </w:pPr>
            <w:r w:rsidRPr="008E4D66">
              <w:rPr>
                <w:color w:val="auto"/>
              </w:rPr>
              <w:t xml:space="preserve">Telephone </w:t>
            </w:r>
          </w:p>
        </w:tc>
        <w:tc>
          <w:tcPr>
            <w:tcW w:w="4962" w:type="dxa"/>
            <w:tcBorders>
              <w:top w:val="nil"/>
              <w:left w:val="nil"/>
              <w:bottom w:val="nil"/>
              <w:right w:val="single" w:sz="8" w:space="0" w:color="000000"/>
            </w:tcBorders>
            <w:shd w:val="clear" w:color="auto" w:fill="auto"/>
          </w:tcPr>
          <w:p w14:paraId="0A4508F7" w14:textId="53232810" w:rsidR="00E87F7A" w:rsidRPr="008E4D66" w:rsidRDefault="000C3099" w:rsidP="005325E4">
            <w:pPr>
              <w:rPr>
                <w:color w:val="auto"/>
              </w:rPr>
            </w:pPr>
            <w:r>
              <w:rPr>
                <w:color w:val="auto"/>
              </w:rPr>
              <w:t>07483 010160</w:t>
            </w:r>
          </w:p>
        </w:tc>
      </w:tr>
      <w:tr w:rsidR="005570B5" w:rsidRPr="008E4D66" w14:paraId="46EB1715"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5A2A9FCA" w14:textId="77777777" w:rsidR="00E87F7A" w:rsidRPr="008E4D66" w:rsidRDefault="00E87F7A" w:rsidP="00A46E98">
            <w:pPr>
              <w:rPr>
                <w:color w:val="auto"/>
              </w:rPr>
            </w:pPr>
            <w:r w:rsidRPr="008E4D66">
              <w:rPr>
                <w:color w:val="auto"/>
              </w:rPr>
              <w:t xml:space="preserve">e-mail </w:t>
            </w:r>
          </w:p>
        </w:tc>
        <w:tc>
          <w:tcPr>
            <w:tcW w:w="4962" w:type="dxa"/>
            <w:tcBorders>
              <w:top w:val="nil"/>
              <w:left w:val="nil"/>
              <w:bottom w:val="single" w:sz="8" w:space="0" w:color="000000"/>
              <w:right w:val="single" w:sz="8" w:space="0" w:color="000000"/>
            </w:tcBorders>
            <w:shd w:val="clear" w:color="auto" w:fill="auto"/>
          </w:tcPr>
          <w:p w14:paraId="3040F45B" w14:textId="77777777" w:rsidR="00E87F7A" w:rsidRPr="008E4D66" w:rsidRDefault="00181B77" w:rsidP="00EF2280">
            <w:pPr>
              <w:rPr>
                <w:rStyle w:val="Hyperlink"/>
                <w:color w:val="auto"/>
              </w:rPr>
            </w:pPr>
            <w:hyperlink r:id="rId8" w:history="1">
              <w:r w:rsidR="00025603" w:rsidRPr="00C40CA1">
                <w:rPr>
                  <w:rStyle w:val="Hyperlink"/>
                </w:rPr>
                <w:t>acourtney@oxford.gov.uk</w:t>
              </w:r>
            </w:hyperlink>
            <w:r w:rsidR="00025603">
              <w:rPr>
                <w:rStyle w:val="Hyperlink"/>
                <w:color w:val="auto"/>
              </w:rPr>
              <w:t xml:space="preserve"> </w:t>
            </w:r>
          </w:p>
        </w:tc>
      </w:tr>
    </w:tbl>
    <w:p w14:paraId="43E15A2B" w14:textId="77777777" w:rsidR="00433B96" w:rsidRPr="008E4D66" w:rsidRDefault="00433B96" w:rsidP="004A6D2F">
      <w:pPr>
        <w:rPr>
          <w:color w:val="auto"/>
        </w:rPr>
      </w:pPr>
    </w:p>
    <w:p w14:paraId="374CFFC9" w14:textId="77777777" w:rsidR="0054712D" w:rsidRDefault="0054712D" w:rsidP="0093067A"/>
    <w:p w14:paraId="1FFD8588" w14:textId="77777777" w:rsidR="004456DD" w:rsidRPr="009E51FC" w:rsidRDefault="004456DD" w:rsidP="0093067A"/>
    <w:sectPr w:rsidR="004456DD" w:rsidRPr="009E51FC" w:rsidSect="004B1479">
      <w:footerReference w:type="even" r:id="rId9"/>
      <w:headerReference w:type="first" r:id="rId10"/>
      <w:footerReference w:type="first" r:id="rId11"/>
      <w:pgSz w:w="11906" w:h="16838" w:code="9"/>
      <w:pgMar w:top="1560" w:right="1304" w:bottom="993"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ED8F" w14:textId="77777777" w:rsidR="00770C4C" w:rsidRDefault="00770C4C" w:rsidP="004A6D2F">
      <w:r>
        <w:separator/>
      </w:r>
    </w:p>
  </w:endnote>
  <w:endnote w:type="continuationSeparator" w:id="0">
    <w:p w14:paraId="06978F5F" w14:textId="77777777" w:rsidR="00770C4C" w:rsidRDefault="00770C4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96D" w14:textId="77777777" w:rsidR="00364FAD" w:rsidRDefault="00364FAD" w:rsidP="004A6D2F">
    <w:pPr>
      <w:pStyle w:val="Footer"/>
    </w:pPr>
    <w:r>
      <w:t>Do not use a footer or page numbers.</w:t>
    </w:r>
  </w:p>
  <w:p w14:paraId="6374703D" w14:textId="77777777" w:rsidR="00364FAD" w:rsidRDefault="00364FAD" w:rsidP="004A6D2F">
    <w:pPr>
      <w:pStyle w:val="Footer"/>
    </w:pPr>
  </w:p>
  <w:p w14:paraId="0502C59B"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5DEF"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7F22" w14:textId="77777777" w:rsidR="00770C4C" w:rsidRDefault="00770C4C" w:rsidP="004A6D2F">
      <w:r>
        <w:separator/>
      </w:r>
    </w:p>
  </w:footnote>
  <w:footnote w:type="continuationSeparator" w:id="0">
    <w:p w14:paraId="0763CA7A" w14:textId="77777777" w:rsidR="00770C4C" w:rsidRDefault="00770C4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766F" w14:textId="60E4DFD2" w:rsidR="00D5547E" w:rsidRDefault="00537D0F" w:rsidP="00D5547E">
    <w:pPr>
      <w:pStyle w:val="Header"/>
      <w:jc w:val="right"/>
    </w:pPr>
    <w:r>
      <w:rPr>
        <w:noProof/>
      </w:rPr>
      <w:drawing>
        <wp:inline distT="0" distB="0" distL="0" distR="0" wp14:anchorId="2972E956" wp14:editId="0527BF5C">
          <wp:extent cx="843280" cy="1116330"/>
          <wp:effectExtent l="0" t="0" r="0" b="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6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486"/>
    <w:multiLevelType w:val="hybridMultilevel"/>
    <w:tmpl w:val="A676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9C05EF"/>
    <w:multiLevelType w:val="multilevel"/>
    <w:tmpl w:val="43D6D2FA"/>
    <w:numStyleLink w:val="StyleBulletedSymbolsymbolLeft063cmHanging063cm"/>
  </w:abstractNum>
  <w:abstractNum w:abstractNumId="14"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883F11"/>
    <w:multiLevelType w:val="hybridMultilevel"/>
    <w:tmpl w:val="70B68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263A6A"/>
    <w:multiLevelType w:val="multilevel"/>
    <w:tmpl w:val="43D6D2FA"/>
    <w:numStyleLink w:val="StyleBulletedSymbolsymbolLeft063cmHanging063cm"/>
  </w:abstractNum>
  <w:abstractNum w:abstractNumId="20"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57105"/>
    <w:multiLevelType w:val="hybridMultilevel"/>
    <w:tmpl w:val="5B2E79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4C6FFC"/>
    <w:multiLevelType w:val="hybridMultilevel"/>
    <w:tmpl w:val="F1E2085A"/>
    <w:lvl w:ilvl="0" w:tplc="97FAC594">
      <w:start w:val="1"/>
      <w:numFmt w:val="decimal"/>
      <w:lvlText w:val="%1."/>
      <w:lvlJc w:val="left"/>
      <w:pPr>
        <w:ind w:left="360" w:hanging="360"/>
      </w:pPr>
      <w:rPr>
        <w:rFonts w:ascii="Arial" w:hAnsi="Arial" w:cs="Times New Roman" w:hint="default"/>
        <w:b w:val="0"/>
        <w:i w:val="0"/>
        <w:color w:val="000000"/>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A5FD8"/>
    <w:multiLevelType w:val="multilevel"/>
    <w:tmpl w:val="43D6D2FA"/>
    <w:numStyleLink w:val="StyleBulletedSymbolsymbolLeft063cmHanging063cm"/>
  </w:abstractNum>
  <w:abstractNum w:abstractNumId="31"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22831"/>
    <w:multiLevelType w:val="multilevel"/>
    <w:tmpl w:val="43D6D2FA"/>
    <w:numStyleLink w:val="StyleBulletedSymbolsymbolLeft063cmHanging063cm"/>
  </w:abstractNum>
  <w:abstractNum w:abstractNumId="33"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8365C6"/>
    <w:multiLevelType w:val="multilevel"/>
    <w:tmpl w:val="414C55AE"/>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82147327">
    <w:abstractNumId w:val="29"/>
  </w:num>
  <w:num w:numId="2" w16cid:durableId="1434666705">
    <w:abstractNumId w:val="34"/>
  </w:num>
  <w:num w:numId="3" w16cid:durableId="2019887226">
    <w:abstractNumId w:val="25"/>
  </w:num>
  <w:num w:numId="4" w16cid:durableId="1415399336">
    <w:abstractNumId w:val="20"/>
  </w:num>
  <w:num w:numId="5" w16cid:durableId="844780811">
    <w:abstractNumId w:val="31"/>
  </w:num>
  <w:num w:numId="6" w16cid:durableId="1151751745">
    <w:abstractNumId w:val="35"/>
  </w:num>
  <w:num w:numId="7" w16cid:durableId="1343119045">
    <w:abstractNumId w:val="24"/>
  </w:num>
  <w:num w:numId="8" w16cid:durableId="2047945858">
    <w:abstractNumId w:val="22"/>
  </w:num>
  <w:num w:numId="9" w16cid:durableId="1092554191">
    <w:abstractNumId w:val="14"/>
  </w:num>
  <w:num w:numId="10" w16cid:durableId="2009014510">
    <w:abstractNumId w:val="16"/>
  </w:num>
  <w:num w:numId="11" w16cid:durableId="238174090">
    <w:abstractNumId w:val="27"/>
  </w:num>
  <w:num w:numId="12" w16cid:durableId="1151291645">
    <w:abstractNumId w:val="26"/>
  </w:num>
  <w:num w:numId="13" w16cid:durableId="1290286107">
    <w:abstractNumId w:val="11"/>
  </w:num>
  <w:num w:numId="14" w16cid:durableId="731539169">
    <w:abstractNumId w:val="36"/>
  </w:num>
  <w:num w:numId="15" w16cid:durableId="409886243">
    <w:abstractNumId w:val="18"/>
  </w:num>
  <w:num w:numId="16" w16cid:durableId="546335368">
    <w:abstractNumId w:val="12"/>
  </w:num>
  <w:num w:numId="17" w16cid:durableId="1057702436">
    <w:abstractNumId w:val="30"/>
  </w:num>
  <w:num w:numId="18" w16cid:durableId="643045811">
    <w:abstractNumId w:val="13"/>
  </w:num>
  <w:num w:numId="19" w16cid:durableId="727415431">
    <w:abstractNumId w:val="32"/>
  </w:num>
  <w:num w:numId="20" w16cid:durableId="1671132711">
    <w:abstractNumId w:val="19"/>
  </w:num>
  <w:num w:numId="21" w16cid:durableId="1970167149">
    <w:abstractNumId w:val="23"/>
  </w:num>
  <w:num w:numId="22" w16cid:durableId="1860506462">
    <w:abstractNumId w:val="15"/>
  </w:num>
  <w:num w:numId="23" w16cid:durableId="959727240">
    <w:abstractNumId w:val="33"/>
  </w:num>
  <w:num w:numId="24" w16cid:durableId="100150748">
    <w:abstractNumId w:val="9"/>
  </w:num>
  <w:num w:numId="25" w16cid:durableId="378864230">
    <w:abstractNumId w:val="8"/>
  </w:num>
  <w:num w:numId="26" w16cid:durableId="1149370397">
    <w:abstractNumId w:val="7"/>
  </w:num>
  <w:num w:numId="27" w16cid:durableId="2055500368">
    <w:abstractNumId w:val="6"/>
  </w:num>
  <w:num w:numId="28" w16cid:durableId="1041787066">
    <w:abstractNumId w:val="5"/>
  </w:num>
  <w:num w:numId="29" w16cid:durableId="1820686021">
    <w:abstractNumId w:val="4"/>
  </w:num>
  <w:num w:numId="30" w16cid:durableId="1096100992">
    <w:abstractNumId w:val="3"/>
  </w:num>
  <w:num w:numId="31" w16cid:durableId="1706715938">
    <w:abstractNumId w:val="2"/>
  </w:num>
  <w:num w:numId="32" w16cid:durableId="860237779">
    <w:abstractNumId w:val="1"/>
  </w:num>
  <w:num w:numId="33" w16cid:durableId="1609849866">
    <w:abstractNumId w:val="0"/>
  </w:num>
  <w:num w:numId="34" w16cid:durableId="1072697438">
    <w:abstractNumId w:val="21"/>
  </w:num>
  <w:num w:numId="35" w16cid:durableId="569655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1451995">
    <w:abstractNumId w:val="10"/>
  </w:num>
  <w:num w:numId="37" w16cid:durableId="200265810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117D4"/>
    <w:rsid w:val="00017BD4"/>
    <w:rsid w:val="00025603"/>
    <w:rsid w:val="00045F8B"/>
    <w:rsid w:val="00046D2B"/>
    <w:rsid w:val="00053E54"/>
    <w:rsid w:val="00056263"/>
    <w:rsid w:val="00064D8A"/>
    <w:rsid w:val="00064F82"/>
    <w:rsid w:val="00066510"/>
    <w:rsid w:val="00077523"/>
    <w:rsid w:val="00094E51"/>
    <w:rsid w:val="000A2D16"/>
    <w:rsid w:val="000C089F"/>
    <w:rsid w:val="000C237A"/>
    <w:rsid w:val="000C3099"/>
    <w:rsid w:val="000C3928"/>
    <w:rsid w:val="000C5E8E"/>
    <w:rsid w:val="000F4751"/>
    <w:rsid w:val="0010524C"/>
    <w:rsid w:val="00111FB1"/>
    <w:rsid w:val="00113418"/>
    <w:rsid w:val="001356F1"/>
    <w:rsid w:val="00136994"/>
    <w:rsid w:val="0014128E"/>
    <w:rsid w:val="00151888"/>
    <w:rsid w:val="00154B22"/>
    <w:rsid w:val="00170A2D"/>
    <w:rsid w:val="001808BC"/>
    <w:rsid w:val="00181B77"/>
    <w:rsid w:val="00182B81"/>
    <w:rsid w:val="0018619D"/>
    <w:rsid w:val="001A011E"/>
    <w:rsid w:val="001A066A"/>
    <w:rsid w:val="001A13E6"/>
    <w:rsid w:val="001A5731"/>
    <w:rsid w:val="001B42C3"/>
    <w:rsid w:val="001C5D5E"/>
    <w:rsid w:val="001D14DE"/>
    <w:rsid w:val="001D678D"/>
    <w:rsid w:val="001E03F8"/>
    <w:rsid w:val="001E3376"/>
    <w:rsid w:val="001F0C5E"/>
    <w:rsid w:val="001F6D87"/>
    <w:rsid w:val="002069B3"/>
    <w:rsid w:val="0021759A"/>
    <w:rsid w:val="0022150D"/>
    <w:rsid w:val="002329CF"/>
    <w:rsid w:val="00232F5B"/>
    <w:rsid w:val="00237510"/>
    <w:rsid w:val="00237A21"/>
    <w:rsid w:val="002459FB"/>
    <w:rsid w:val="00247C29"/>
    <w:rsid w:val="00260467"/>
    <w:rsid w:val="00263EA3"/>
    <w:rsid w:val="00284F85"/>
    <w:rsid w:val="00290915"/>
    <w:rsid w:val="002A22E2"/>
    <w:rsid w:val="002C64F7"/>
    <w:rsid w:val="002F41F2"/>
    <w:rsid w:val="00301BF3"/>
    <w:rsid w:val="0030208D"/>
    <w:rsid w:val="003066CE"/>
    <w:rsid w:val="00323418"/>
    <w:rsid w:val="003357BF"/>
    <w:rsid w:val="00364FAD"/>
    <w:rsid w:val="0036738F"/>
    <w:rsid w:val="0036759C"/>
    <w:rsid w:val="00367AE5"/>
    <w:rsid w:val="00367D71"/>
    <w:rsid w:val="0038150A"/>
    <w:rsid w:val="003B6E75"/>
    <w:rsid w:val="003B7DA1"/>
    <w:rsid w:val="003D0379"/>
    <w:rsid w:val="003D2574"/>
    <w:rsid w:val="003D4C59"/>
    <w:rsid w:val="003F4267"/>
    <w:rsid w:val="00404032"/>
    <w:rsid w:val="0040736F"/>
    <w:rsid w:val="00410E3C"/>
    <w:rsid w:val="00412C1F"/>
    <w:rsid w:val="00421CB2"/>
    <w:rsid w:val="004268B9"/>
    <w:rsid w:val="00433B96"/>
    <w:rsid w:val="004440F1"/>
    <w:rsid w:val="004456DD"/>
    <w:rsid w:val="00446CDF"/>
    <w:rsid w:val="004521B7"/>
    <w:rsid w:val="00462AB5"/>
    <w:rsid w:val="00465EAF"/>
    <w:rsid w:val="004738C5"/>
    <w:rsid w:val="00491046"/>
    <w:rsid w:val="004A2AC7"/>
    <w:rsid w:val="004A6D2F"/>
    <w:rsid w:val="004A7990"/>
    <w:rsid w:val="004B1479"/>
    <w:rsid w:val="004B5EC0"/>
    <w:rsid w:val="004C2887"/>
    <w:rsid w:val="004C3163"/>
    <w:rsid w:val="004D2626"/>
    <w:rsid w:val="004D6E26"/>
    <w:rsid w:val="004D77D3"/>
    <w:rsid w:val="004E2959"/>
    <w:rsid w:val="004E6599"/>
    <w:rsid w:val="004F20EF"/>
    <w:rsid w:val="0050321C"/>
    <w:rsid w:val="005325E4"/>
    <w:rsid w:val="00537D0F"/>
    <w:rsid w:val="0054712D"/>
    <w:rsid w:val="00547EF6"/>
    <w:rsid w:val="005570B5"/>
    <w:rsid w:val="00567E18"/>
    <w:rsid w:val="00575F5F"/>
    <w:rsid w:val="005761F5"/>
    <w:rsid w:val="00581805"/>
    <w:rsid w:val="00585F76"/>
    <w:rsid w:val="005A34E4"/>
    <w:rsid w:val="005B17F2"/>
    <w:rsid w:val="005B7FB0"/>
    <w:rsid w:val="005C35A5"/>
    <w:rsid w:val="005C577C"/>
    <w:rsid w:val="005D0621"/>
    <w:rsid w:val="005D1E27"/>
    <w:rsid w:val="005D2A3E"/>
    <w:rsid w:val="005E022E"/>
    <w:rsid w:val="005E5215"/>
    <w:rsid w:val="005F7F7E"/>
    <w:rsid w:val="00614693"/>
    <w:rsid w:val="00614DA1"/>
    <w:rsid w:val="0062278B"/>
    <w:rsid w:val="00623C2F"/>
    <w:rsid w:val="00633578"/>
    <w:rsid w:val="00637068"/>
    <w:rsid w:val="006465F2"/>
    <w:rsid w:val="00650811"/>
    <w:rsid w:val="00661D3E"/>
    <w:rsid w:val="006902C0"/>
    <w:rsid w:val="00692627"/>
    <w:rsid w:val="006969E7"/>
    <w:rsid w:val="006A3643"/>
    <w:rsid w:val="006C2A29"/>
    <w:rsid w:val="006C64CF"/>
    <w:rsid w:val="006D17B1"/>
    <w:rsid w:val="006D4752"/>
    <w:rsid w:val="006D708A"/>
    <w:rsid w:val="006E14C1"/>
    <w:rsid w:val="006F0292"/>
    <w:rsid w:val="006F27FA"/>
    <w:rsid w:val="006F416B"/>
    <w:rsid w:val="006F519B"/>
    <w:rsid w:val="00713675"/>
    <w:rsid w:val="00715823"/>
    <w:rsid w:val="00727B92"/>
    <w:rsid w:val="007379B6"/>
    <w:rsid w:val="00737B93"/>
    <w:rsid w:val="007449F4"/>
    <w:rsid w:val="00745BF0"/>
    <w:rsid w:val="007513C8"/>
    <w:rsid w:val="007615FE"/>
    <w:rsid w:val="0076655C"/>
    <w:rsid w:val="00767F25"/>
    <w:rsid w:val="00770C4C"/>
    <w:rsid w:val="007742DC"/>
    <w:rsid w:val="0078156F"/>
    <w:rsid w:val="00790788"/>
    <w:rsid w:val="00791437"/>
    <w:rsid w:val="007A7A70"/>
    <w:rsid w:val="007B0C2C"/>
    <w:rsid w:val="007B278E"/>
    <w:rsid w:val="007C5C23"/>
    <w:rsid w:val="007D760C"/>
    <w:rsid w:val="007E2A26"/>
    <w:rsid w:val="007F2348"/>
    <w:rsid w:val="007F4787"/>
    <w:rsid w:val="00803F07"/>
    <w:rsid w:val="008041F4"/>
    <w:rsid w:val="0080749A"/>
    <w:rsid w:val="0082136A"/>
    <w:rsid w:val="00821FB8"/>
    <w:rsid w:val="00822ACD"/>
    <w:rsid w:val="00855C66"/>
    <w:rsid w:val="00871EE4"/>
    <w:rsid w:val="008B293F"/>
    <w:rsid w:val="008B49EB"/>
    <w:rsid w:val="008B7371"/>
    <w:rsid w:val="008D3DDB"/>
    <w:rsid w:val="008E4D66"/>
    <w:rsid w:val="008F3A4D"/>
    <w:rsid w:val="008F573F"/>
    <w:rsid w:val="008F5B20"/>
    <w:rsid w:val="009034EC"/>
    <w:rsid w:val="0093067A"/>
    <w:rsid w:val="00941C60"/>
    <w:rsid w:val="00966D42"/>
    <w:rsid w:val="00971689"/>
    <w:rsid w:val="00973E90"/>
    <w:rsid w:val="00975B07"/>
    <w:rsid w:val="00980B4A"/>
    <w:rsid w:val="00990ADC"/>
    <w:rsid w:val="009C3FAF"/>
    <w:rsid w:val="009E3D0A"/>
    <w:rsid w:val="009E51FC"/>
    <w:rsid w:val="009F1D28"/>
    <w:rsid w:val="009F7618"/>
    <w:rsid w:val="00A04D23"/>
    <w:rsid w:val="00A06766"/>
    <w:rsid w:val="00A13765"/>
    <w:rsid w:val="00A21B12"/>
    <w:rsid w:val="00A23F80"/>
    <w:rsid w:val="00A46E98"/>
    <w:rsid w:val="00A6352B"/>
    <w:rsid w:val="00A701B5"/>
    <w:rsid w:val="00A714BB"/>
    <w:rsid w:val="00A76186"/>
    <w:rsid w:val="00A92D8F"/>
    <w:rsid w:val="00AB2988"/>
    <w:rsid w:val="00AB7999"/>
    <w:rsid w:val="00AD3292"/>
    <w:rsid w:val="00AE194D"/>
    <w:rsid w:val="00AE7AF0"/>
    <w:rsid w:val="00B500CA"/>
    <w:rsid w:val="00B86314"/>
    <w:rsid w:val="00BA1C2E"/>
    <w:rsid w:val="00BB34D9"/>
    <w:rsid w:val="00BC200B"/>
    <w:rsid w:val="00BC4756"/>
    <w:rsid w:val="00BC69A4"/>
    <w:rsid w:val="00BE0680"/>
    <w:rsid w:val="00BE305F"/>
    <w:rsid w:val="00BE7BA3"/>
    <w:rsid w:val="00BF5682"/>
    <w:rsid w:val="00BF7B09"/>
    <w:rsid w:val="00C20A95"/>
    <w:rsid w:val="00C24717"/>
    <w:rsid w:val="00C2692F"/>
    <w:rsid w:val="00C3207C"/>
    <w:rsid w:val="00C400E1"/>
    <w:rsid w:val="00C41187"/>
    <w:rsid w:val="00C63C31"/>
    <w:rsid w:val="00C744C9"/>
    <w:rsid w:val="00C757A0"/>
    <w:rsid w:val="00C760DE"/>
    <w:rsid w:val="00C82630"/>
    <w:rsid w:val="00C84163"/>
    <w:rsid w:val="00C85B4E"/>
    <w:rsid w:val="00C907F7"/>
    <w:rsid w:val="00C938BD"/>
    <w:rsid w:val="00CA2103"/>
    <w:rsid w:val="00CB6B99"/>
    <w:rsid w:val="00CC422A"/>
    <w:rsid w:val="00CD7D8E"/>
    <w:rsid w:val="00CE4C87"/>
    <w:rsid w:val="00CE544A"/>
    <w:rsid w:val="00CE72D5"/>
    <w:rsid w:val="00D06005"/>
    <w:rsid w:val="00D11E1C"/>
    <w:rsid w:val="00D160B0"/>
    <w:rsid w:val="00D17F94"/>
    <w:rsid w:val="00D223FC"/>
    <w:rsid w:val="00D26D1E"/>
    <w:rsid w:val="00D474CF"/>
    <w:rsid w:val="00D5547E"/>
    <w:rsid w:val="00D806E3"/>
    <w:rsid w:val="00D869A1"/>
    <w:rsid w:val="00DA413F"/>
    <w:rsid w:val="00DA4584"/>
    <w:rsid w:val="00DA614B"/>
    <w:rsid w:val="00DB070F"/>
    <w:rsid w:val="00DB4DCA"/>
    <w:rsid w:val="00DB6F76"/>
    <w:rsid w:val="00DC3060"/>
    <w:rsid w:val="00DE0FB2"/>
    <w:rsid w:val="00DF093E"/>
    <w:rsid w:val="00E01F42"/>
    <w:rsid w:val="00E206D6"/>
    <w:rsid w:val="00E3366E"/>
    <w:rsid w:val="00E402B3"/>
    <w:rsid w:val="00E45717"/>
    <w:rsid w:val="00E52086"/>
    <w:rsid w:val="00E543A6"/>
    <w:rsid w:val="00E60479"/>
    <w:rsid w:val="00E61D73"/>
    <w:rsid w:val="00E73684"/>
    <w:rsid w:val="00E818D6"/>
    <w:rsid w:val="00E87F7A"/>
    <w:rsid w:val="00E96BD7"/>
    <w:rsid w:val="00EA0DB1"/>
    <w:rsid w:val="00EA0EE9"/>
    <w:rsid w:val="00ED52CA"/>
    <w:rsid w:val="00ED5860"/>
    <w:rsid w:val="00EE35C9"/>
    <w:rsid w:val="00EF2280"/>
    <w:rsid w:val="00F05ECA"/>
    <w:rsid w:val="00F3469D"/>
    <w:rsid w:val="00F3566E"/>
    <w:rsid w:val="00F375FB"/>
    <w:rsid w:val="00F41AC1"/>
    <w:rsid w:val="00F4367A"/>
    <w:rsid w:val="00F445B1"/>
    <w:rsid w:val="00F45CD4"/>
    <w:rsid w:val="00F506D8"/>
    <w:rsid w:val="00F66DCA"/>
    <w:rsid w:val="00F672BA"/>
    <w:rsid w:val="00F724E6"/>
    <w:rsid w:val="00F74F53"/>
    <w:rsid w:val="00F7606D"/>
    <w:rsid w:val="00F81670"/>
    <w:rsid w:val="00F82024"/>
    <w:rsid w:val="00F94A4F"/>
    <w:rsid w:val="00F95BC9"/>
    <w:rsid w:val="00FA624C"/>
    <w:rsid w:val="00FD0FAC"/>
    <w:rsid w:val="00FD1DFA"/>
    <w:rsid w:val="00FD4966"/>
    <w:rsid w:val="00FE57DC"/>
    <w:rsid w:val="00FE6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83CD8"/>
  <w15:chartTrackingRefBased/>
  <w15:docId w15:val="{044C9D0F-5535-4C5C-95AF-7A3AEB2F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spelle">
    <w:name w:val="spelle"/>
    <w:rsid w:val="008F3A4D"/>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character" w:styleId="UnresolvedMention">
    <w:name w:val="Unresolved Mention"/>
    <w:uiPriority w:val="99"/>
    <w:semiHidden/>
    <w:unhideWhenUsed/>
    <w:rsid w:val="00025603"/>
    <w:rPr>
      <w:color w:val="605E5C"/>
      <w:shd w:val="clear" w:color="auto" w:fill="E1DFDD"/>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43575973">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ourtney@oxfor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9D01-5D50-4322-AAD6-8E47C3F5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651</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4577</CharactersWithSpaces>
  <SharedDoc>false</SharedDoc>
  <HLinks>
    <vt:vector size="6" baseType="variant">
      <vt:variant>
        <vt:i4>7733274</vt:i4>
      </vt:variant>
      <vt:variant>
        <vt:i4>0</vt:i4>
      </vt:variant>
      <vt:variant>
        <vt:i4>0</vt:i4>
      </vt:variant>
      <vt:variant>
        <vt:i4>5</vt:i4>
      </vt:variant>
      <vt:variant>
        <vt:lpwstr>mailto:acourtney@oxford.gov.uk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COURTNEY Alice</cp:lastModifiedBy>
  <cp:revision>5</cp:revision>
  <cp:lastPrinted>2018-04-09T10:50:00Z</cp:lastPrinted>
  <dcterms:created xsi:type="dcterms:W3CDTF">2024-02-01T11:03:00Z</dcterms:created>
  <dcterms:modified xsi:type="dcterms:W3CDTF">2024-09-04T13:07:00Z</dcterms:modified>
</cp:coreProperties>
</file>